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rPr>
      </w:pPr>
      <w:r>
        <w:rPr>
          <w:rFonts w:hint="eastAsia" w:ascii="Verdana" w:hAnsi="Verdana" w:cs="宋体"/>
          <w:color w:val="000000"/>
          <w:sz w:val="24"/>
        </w:rPr>
        <w:t>附件三</w:t>
      </w:r>
      <w:r>
        <w:rPr>
          <w:rFonts w:hint="eastAsia" w:ascii="仿宋" w:hAnsi="仿宋" w:eastAsia="仿宋"/>
          <w:sz w:val="24"/>
        </w:rPr>
        <w:t xml:space="preserve"> </w:t>
      </w:r>
      <w:r>
        <w:rPr>
          <w:rFonts w:hint="eastAsia" w:ascii="Verdana" w:hAnsi="Verdana" w:cs="宋体"/>
          <w:color w:val="000000"/>
          <w:sz w:val="24"/>
        </w:rPr>
        <w:t>软件学院本科生综合测评加分申请表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371"/>
        <w:gridCol w:w="4154"/>
        <w:gridCol w:w="4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申报类别</w:t>
            </w: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申报等级</w:t>
            </w:r>
          </w:p>
        </w:tc>
        <w:tc>
          <w:tcPr>
            <w:tcW w:w="4695"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代表性成果支撑材料</w:t>
            </w:r>
          </w:p>
        </w:tc>
        <w:tc>
          <w:tcPr>
            <w:tcW w:w="3639"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对应加分情况说明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restart"/>
            <w:shd w:val="clear" w:color="auto" w:fill="auto"/>
            <w:noWrap w:val="0"/>
            <w:vAlign w:val="center"/>
          </w:tcPr>
          <w:p>
            <w:pPr>
              <w:jc w:val="center"/>
              <w:rPr>
                <w:rFonts w:ascii="Verdana" w:hAnsi="Verdana" w:cs="宋体"/>
                <w:color w:val="000000"/>
                <w:sz w:val="24"/>
              </w:rPr>
            </w:pPr>
            <w:r>
              <w:rPr>
                <w:rFonts w:hint="eastAsia" w:ascii="Verdana" w:hAnsi="Verdana" w:cs="宋体"/>
                <w:b/>
                <w:sz w:val="24"/>
              </w:rPr>
              <w:t>科技与竞赛参与评定（10分：</w:t>
            </w:r>
            <w:r>
              <w:rPr>
                <w:rFonts w:hint="eastAsia" w:ascii="宋体" w:hAnsi="宋体" w:cs="宋体"/>
                <w:b/>
                <w:sz w:val="24"/>
              </w:rPr>
              <w:t>含各类竞赛、论文发表、专利、创新项目等）</w:t>
            </w: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一档（最多填写3项，满分10分）</w:t>
            </w:r>
            <w:r>
              <w:rPr>
                <w:rFonts w:hint="eastAsia" w:ascii="Verdana" w:hAnsi="Verdana" w:cs="宋体"/>
                <w:color w:val="000000"/>
                <w:sz w:val="24"/>
              </w:rPr>
              <w:br w:type="textWrapping"/>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numPr>
                <w:ilvl w:val="0"/>
                <w:numId w:val="1"/>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竞赛类：参考附件一所列竞赛项目，其中一等奖加10分，二等奖加8分，三等奖加6分，其他奖项类别计入活动参与次数加分；</w:t>
            </w:r>
          </w:p>
          <w:p>
            <w:pPr>
              <w:numPr>
                <w:ilvl w:val="0"/>
                <w:numId w:val="1"/>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论文及专利：以一作身份或者导师为一作本人为二作在核心期刊（期刊目录参照我校图书馆“核心期刊目录”https://www.lib.tongji.edu.cn/index.php?classid=12108）发表论文或者获得专利授权加10分，论文需提供检索证明，其他证明材料以评审小组审核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shd w:val="clear" w:color="auto" w:fill="auto"/>
            <w:noWrap w:val="0"/>
            <w:vAlign w:val="center"/>
          </w:tcPr>
          <w:p>
            <w:pPr>
              <w:jc w:val="center"/>
              <w:rPr>
                <w:rFonts w:ascii="Verdana" w:hAnsi="Verdana" w:cs="宋体"/>
                <w:color w:val="000000"/>
                <w:sz w:val="24"/>
              </w:rPr>
            </w:pP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二档（最多填写3项，满分6分）</w:t>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jc w:val="left"/>
              <w:rPr>
                <w:rFonts w:ascii="Verdana" w:hAnsi="Verdana" w:cs="宋体"/>
                <w:color w:val="000000"/>
                <w:sz w:val="18"/>
                <w:szCs w:val="18"/>
              </w:rPr>
            </w:pPr>
            <w:r>
              <w:rPr>
                <w:rFonts w:hint="eastAsia" w:ascii="Verdana" w:hAnsi="Verdana" w:cs="宋体"/>
                <w:color w:val="000000"/>
                <w:sz w:val="18"/>
                <w:szCs w:val="18"/>
              </w:rPr>
              <w:t>（1）竞赛类：省部级及以上竞赛类别（未在一档中列明），以获奖证书盖章认定机构为准，其中一等奖加6分，二等奖加4分，三等奖加2分，其他奖项类别计入活动参与次数加分；</w:t>
            </w:r>
          </w:p>
          <w:p>
            <w:pPr>
              <w:jc w:val="left"/>
              <w:rPr>
                <w:rFonts w:ascii="Verdana" w:hAnsi="Verdana" w:cs="宋体"/>
                <w:color w:val="000000"/>
                <w:sz w:val="18"/>
                <w:szCs w:val="18"/>
              </w:rPr>
            </w:pPr>
            <w:r>
              <w:rPr>
                <w:rFonts w:hint="eastAsia" w:ascii="Verdana" w:hAnsi="Verdana" w:cs="宋体"/>
                <w:color w:val="000000"/>
                <w:sz w:val="18"/>
                <w:szCs w:val="18"/>
              </w:rPr>
              <w:t>（2）论文及专利：以一作身份公开发表论文加6分，论文需提供检索证明，其他证明材料以评审小组审核为准；</w:t>
            </w:r>
          </w:p>
          <w:p>
            <w:pPr>
              <w:jc w:val="left"/>
              <w:rPr>
                <w:rFonts w:ascii="Verdana" w:hAnsi="Verdana" w:cs="宋体"/>
                <w:color w:val="000000"/>
                <w:sz w:val="24"/>
              </w:rPr>
            </w:pPr>
            <w:r>
              <w:rPr>
                <w:rFonts w:hint="eastAsia" w:ascii="Verdana" w:hAnsi="Verdana" w:cs="宋体"/>
                <w:color w:val="000000"/>
                <w:sz w:val="18"/>
                <w:szCs w:val="18"/>
              </w:rPr>
              <w:t>（3）创新项目：国创项目顺利结项加6分；上创项目顺利结项加5分；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shd w:val="clear" w:color="auto" w:fill="auto"/>
            <w:noWrap w:val="0"/>
            <w:vAlign w:val="center"/>
          </w:tcPr>
          <w:p>
            <w:pPr>
              <w:jc w:val="center"/>
              <w:rPr>
                <w:rFonts w:ascii="Verdana" w:hAnsi="Verdana" w:cs="宋体"/>
                <w:color w:val="000000"/>
                <w:sz w:val="24"/>
              </w:rPr>
            </w:pP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三档（最多填写6项，满分3分）</w:t>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numPr>
                <w:ilvl w:val="0"/>
                <w:numId w:val="2"/>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未在一档二档中标明的竞赛，创新项目等归入三档</w:t>
            </w:r>
          </w:p>
          <w:p>
            <w:pPr>
              <w:numPr>
                <w:ilvl w:val="0"/>
                <w:numId w:val="2"/>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三档活动无论所获奖项级别按照参加的次数每次加0.5分，可累计计算，满分3分。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restart"/>
            <w:shd w:val="clear" w:color="auto" w:fill="auto"/>
            <w:noWrap w:val="0"/>
            <w:vAlign w:val="center"/>
          </w:tcPr>
          <w:p>
            <w:pPr>
              <w:jc w:val="center"/>
              <w:rPr>
                <w:rFonts w:ascii="Verdana" w:hAnsi="Verdana" w:cs="宋体"/>
                <w:color w:val="000000"/>
                <w:sz w:val="24"/>
              </w:rPr>
            </w:pPr>
            <w:r>
              <w:rPr>
                <w:rFonts w:hint="eastAsia" w:ascii="Verdana" w:hAnsi="Verdana" w:cs="宋体"/>
                <w:b/>
                <w:sz w:val="24"/>
              </w:rPr>
              <w:t>社会活动参与评定（</w:t>
            </w:r>
            <w:r>
              <w:rPr>
                <w:rFonts w:hint="eastAsia" w:ascii="宋体" w:hAnsi="宋体" w:cs="宋体"/>
                <w:b/>
                <w:sz w:val="24"/>
              </w:rPr>
              <w:t>10分</w:t>
            </w:r>
            <w:r>
              <w:rPr>
                <w:rFonts w:hint="eastAsia" w:ascii="Verdana" w:hAnsi="Verdana" w:cs="宋体"/>
                <w:b/>
                <w:sz w:val="24"/>
              </w:rPr>
              <w:t>）</w:t>
            </w: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一档（最多填写3项，满分10分）</w:t>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jc w:val="left"/>
              <w:rPr>
                <w:rFonts w:ascii="Verdana" w:hAnsi="Verdana" w:cs="宋体"/>
                <w:color w:val="000000"/>
                <w:sz w:val="24"/>
              </w:rPr>
            </w:pPr>
            <w:r>
              <w:rPr>
                <w:rFonts w:hint="eastAsia" w:ascii="宋体" w:hAnsi="宋体" w:cs="宋体"/>
                <w:color w:val="000000"/>
                <w:sz w:val="18"/>
                <w:szCs w:val="18"/>
              </w:rPr>
              <w:t>参照附件二社会活动（服务）类（一档）评定细则执行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shd w:val="clear" w:color="auto" w:fill="auto"/>
            <w:noWrap w:val="0"/>
            <w:vAlign w:val="center"/>
          </w:tcPr>
          <w:p>
            <w:pPr>
              <w:jc w:val="center"/>
              <w:rPr>
                <w:rFonts w:ascii="Verdana" w:hAnsi="Verdana" w:cs="宋体"/>
                <w:color w:val="000000"/>
                <w:sz w:val="24"/>
              </w:rPr>
            </w:pP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二档（最多填写3项，满分6分）</w:t>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jc w:val="left"/>
              <w:rPr>
                <w:rFonts w:ascii="Verdana" w:hAnsi="Verdana" w:cs="宋体"/>
                <w:color w:val="000000"/>
                <w:sz w:val="24"/>
              </w:rPr>
            </w:pPr>
            <w:r>
              <w:rPr>
                <w:rFonts w:hint="eastAsia" w:ascii="宋体" w:hAnsi="宋体" w:cs="宋体"/>
                <w:color w:val="000000"/>
                <w:sz w:val="18"/>
                <w:szCs w:val="18"/>
              </w:rPr>
              <w:t>参加未在一档中标明的国家及省部级活动获得优秀者加6分，未获得优秀者加4分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shd w:val="clear" w:color="auto" w:fill="auto"/>
            <w:noWrap w:val="0"/>
            <w:vAlign w:val="center"/>
          </w:tcPr>
          <w:p>
            <w:pPr>
              <w:jc w:val="center"/>
              <w:rPr>
                <w:rFonts w:ascii="Verdana" w:hAnsi="Verdana" w:cs="宋体"/>
                <w:color w:val="000000"/>
                <w:sz w:val="24"/>
              </w:rPr>
            </w:pPr>
          </w:p>
        </w:tc>
        <w:tc>
          <w:tcPr>
            <w:tcW w:w="1470" w:type="dxa"/>
            <w:shd w:val="clear" w:color="auto" w:fill="auto"/>
            <w:noWrap w:val="0"/>
            <w:vAlign w:val="center"/>
          </w:tcPr>
          <w:p>
            <w:pPr>
              <w:jc w:val="center"/>
              <w:rPr>
                <w:rFonts w:ascii="Verdana" w:hAnsi="Verdana" w:cs="宋体"/>
                <w:color w:val="000000"/>
                <w:sz w:val="24"/>
              </w:rPr>
            </w:pPr>
            <w:r>
              <w:rPr>
                <w:rFonts w:hint="eastAsia" w:ascii="Verdana" w:hAnsi="Verdana" w:cs="宋体"/>
                <w:color w:val="000000"/>
                <w:sz w:val="24"/>
              </w:rPr>
              <w:t>三档（最多填写6项，满分3分）</w:t>
            </w: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jc w:val="left"/>
              <w:rPr>
                <w:rFonts w:ascii="Verdana" w:hAnsi="Verdana" w:cs="宋体"/>
                <w:color w:val="000000"/>
                <w:sz w:val="18"/>
                <w:szCs w:val="18"/>
              </w:rPr>
            </w:pPr>
            <w:r>
              <w:rPr>
                <w:rFonts w:hint="eastAsia" w:ascii="Verdana" w:hAnsi="Verdana" w:cs="宋体"/>
                <w:color w:val="000000"/>
                <w:sz w:val="18"/>
                <w:szCs w:val="18"/>
              </w:rPr>
              <w:t>未在一档二档中标明的活动，按照所参加活动次数，每次活动加0.5分，满分3分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shd w:val="clear" w:color="auto" w:fill="auto"/>
            <w:noWrap w:val="0"/>
            <w:vAlign w:val="center"/>
          </w:tcPr>
          <w:p>
            <w:pPr>
              <w:jc w:val="center"/>
              <w:rPr>
                <w:rFonts w:ascii="Verdana" w:hAnsi="Verdana" w:cs="宋体"/>
                <w:color w:val="000000"/>
                <w:sz w:val="24"/>
              </w:rPr>
            </w:pPr>
            <w:r>
              <w:rPr>
                <w:rFonts w:hint="eastAsia" w:ascii="Verdana" w:hAnsi="Verdana" w:cs="宋体"/>
                <w:b/>
                <w:sz w:val="24"/>
              </w:rPr>
              <w:t>民主评议评定（5分）</w:t>
            </w:r>
          </w:p>
        </w:tc>
        <w:tc>
          <w:tcPr>
            <w:tcW w:w="1470" w:type="dxa"/>
            <w:shd w:val="clear" w:color="auto" w:fill="auto"/>
            <w:noWrap w:val="0"/>
            <w:vAlign w:val="center"/>
          </w:tcPr>
          <w:p>
            <w:pPr>
              <w:rPr>
                <w:rFonts w:ascii="Verdana" w:hAnsi="Verdana" w:cs="宋体"/>
                <w:color w:val="000000"/>
                <w:sz w:val="24"/>
              </w:rPr>
            </w:pP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jc w:val="left"/>
              <w:rPr>
                <w:rFonts w:ascii="Verdana" w:hAnsi="Verdana" w:cs="宋体"/>
                <w:color w:val="000000"/>
                <w:sz w:val="18"/>
                <w:szCs w:val="18"/>
              </w:rPr>
            </w:pPr>
            <w:r>
              <w:rPr>
                <w:rFonts w:hint="eastAsia" w:ascii="Verdana" w:hAnsi="Verdana" w:cs="宋体"/>
                <w:color w:val="000000"/>
                <w:sz w:val="18"/>
                <w:szCs w:val="18"/>
              </w:rPr>
              <w:t>（1）由申请人所在班级负责组织和评定，评定结果需通知申请人本人并书面提交给当年度奖学金评审小组；</w:t>
            </w:r>
          </w:p>
          <w:p>
            <w:pPr>
              <w:jc w:val="left"/>
              <w:rPr>
                <w:rFonts w:ascii="Verdana" w:hAnsi="Verdana" w:cs="宋体"/>
                <w:color w:val="000000"/>
                <w:sz w:val="18"/>
                <w:szCs w:val="18"/>
              </w:rPr>
            </w:pPr>
            <w:r>
              <w:rPr>
                <w:rFonts w:hint="eastAsia" w:ascii="Verdana" w:hAnsi="Verdana" w:cs="宋体"/>
                <w:color w:val="000000"/>
                <w:sz w:val="18"/>
                <w:szCs w:val="18"/>
              </w:rPr>
              <w:t>（2）申请人所在班级三分之二以上学生参与评定，最终成绩按照所有参与评定人打分的平均成绩折算成5分制计入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shd w:val="clear" w:color="auto" w:fill="auto"/>
            <w:noWrap w:val="0"/>
            <w:vAlign w:val="center"/>
          </w:tcPr>
          <w:p>
            <w:pPr>
              <w:jc w:val="center"/>
              <w:rPr>
                <w:rFonts w:ascii="Verdana" w:hAnsi="Verdana" w:cs="宋体"/>
                <w:b/>
                <w:sz w:val="24"/>
              </w:rPr>
            </w:pPr>
            <w:r>
              <w:rPr>
                <w:rFonts w:hint="eastAsia" w:ascii="Verdana" w:hAnsi="Verdana" w:cs="宋体"/>
                <w:b/>
                <w:sz w:val="24"/>
              </w:rPr>
              <w:t>评审小组评定（5分）</w:t>
            </w:r>
          </w:p>
        </w:tc>
        <w:tc>
          <w:tcPr>
            <w:tcW w:w="1470" w:type="dxa"/>
            <w:shd w:val="clear" w:color="auto" w:fill="auto"/>
            <w:noWrap w:val="0"/>
            <w:vAlign w:val="center"/>
          </w:tcPr>
          <w:p>
            <w:pPr>
              <w:jc w:val="center"/>
              <w:rPr>
                <w:rFonts w:ascii="Verdana" w:hAnsi="Verdana" w:cs="宋体"/>
                <w:color w:val="000000"/>
                <w:sz w:val="24"/>
              </w:rPr>
            </w:pPr>
          </w:p>
        </w:tc>
        <w:tc>
          <w:tcPr>
            <w:tcW w:w="4695" w:type="dxa"/>
            <w:shd w:val="clear" w:color="auto" w:fill="auto"/>
            <w:noWrap w:val="0"/>
            <w:vAlign w:val="center"/>
          </w:tcPr>
          <w:p>
            <w:pPr>
              <w:jc w:val="center"/>
              <w:rPr>
                <w:rFonts w:ascii="Verdana" w:hAnsi="Verdana" w:cs="宋体"/>
                <w:color w:val="000000"/>
                <w:sz w:val="24"/>
              </w:rPr>
            </w:pPr>
          </w:p>
        </w:tc>
        <w:tc>
          <w:tcPr>
            <w:tcW w:w="3639" w:type="dxa"/>
            <w:shd w:val="clear" w:color="auto" w:fill="auto"/>
            <w:noWrap w:val="0"/>
            <w:vAlign w:val="center"/>
          </w:tcPr>
          <w:p>
            <w:pPr>
              <w:numPr>
                <w:ilvl w:val="0"/>
                <w:numId w:val="3"/>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由当年度奖学金评审小组根据所评奖项类别以答辩或者材料审核的形式予以评定；</w:t>
            </w:r>
          </w:p>
          <w:p>
            <w:pPr>
              <w:numPr>
                <w:ilvl w:val="0"/>
                <w:numId w:val="3"/>
              </w:numPr>
              <w:spacing w:after="160" w:line="259" w:lineRule="auto"/>
              <w:jc w:val="left"/>
              <w:rPr>
                <w:rFonts w:ascii="Verdana" w:hAnsi="Verdana" w:cs="宋体"/>
                <w:color w:val="000000"/>
                <w:sz w:val="18"/>
                <w:szCs w:val="18"/>
              </w:rPr>
            </w:pPr>
            <w:r>
              <w:rPr>
                <w:rFonts w:hint="eastAsia" w:ascii="Verdana" w:hAnsi="Verdana" w:cs="宋体"/>
                <w:color w:val="000000"/>
                <w:sz w:val="18"/>
                <w:szCs w:val="18"/>
              </w:rPr>
              <w:t>最终成绩有奖学金评审小组成员打分的平均值折算成5分制计入</w:t>
            </w:r>
          </w:p>
        </w:tc>
      </w:tr>
    </w:tbl>
    <w:p>
      <w:pPr>
        <w:rPr>
          <w:rFonts w:ascii="仿宋" w:hAnsi="仿宋" w:eastAsia="仿宋"/>
          <w:sz w:val="24"/>
        </w:rPr>
      </w:pPr>
    </w:p>
    <w:p>
      <w:pPr>
        <w:rPr>
          <w:rFonts w:ascii="仿宋" w:hAnsi="仿宋" w:eastAsia="仿宋"/>
          <w:b/>
          <w:bCs/>
          <w:sz w:val="24"/>
          <w:highlight w:val="yellow"/>
        </w:rPr>
      </w:pPr>
      <w:r>
        <w:rPr>
          <w:rFonts w:hint="eastAsia" w:ascii="仿宋" w:hAnsi="仿宋" w:eastAsia="仿宋"/>
          <w:sz w:val="24"/>
        </w:rPr>
        <w:t>注：（1）按照申报类别各档次要求项数提交代表性成果，</w:t>
      </w:r>
      <w:r>
        <w:rPr>
          <w:rFonts w:hint="eastAsia" w:ascii="仿宋" w:hAnsi="仿宋" w:eastAsia="仿宋"/>
          <w:b/>
          <w:bCs/>
          <w:sz w:val="24"/>
          <w:highlight w:val="yellow"/>
        </w:rPr>
        <w:t>代表性成果项数超过规定项数时该档次加分</w:t>
      </w:r>
    </w:p>
    <w:p>
      <w:pPr>
        <w:ind w:firstLine="482" w:firstLineChars="200"/>
        <w:rPr>
          <w:rFonts w:ascii="仿宋" w:hAnsi="仿宋" w:eastAsia="仿宋"/>
          <w:sz w:val="24"/>
        </w:rPr>
      </w:pPr>
      <w:r>
        <w:rPr>
          <w:rFonts w:hint="eastAsia" w:ascii="仿宋" w:hAnsi="仿宋" w:eastAsia="仿宋"/>
          <w:b/>
          <w:bCs/>
          <w:sz w:val="24"/>
          <w:highlight w:val="yellow"/>
        </w:rPr>
        <w:t>视为无效并做零分计</w:t>
      </w:r>
      <w:r>
        <w:rPr>
          <w:rFonts w:hint="eastAsia" w:ascii="仿宋" w:hAnsi="仿宋" w:eastAsia="仿宋"/>
          <w:sz w:val="24"/>
        </w:rPr>
        <w:t>，单申报类别累计加分最高不得超过10分，不同档次间不可累计计分，档次</w:t>
      </w:r>
    </w:p>
    <w:p>
      <w:pPr>
        <w:ind w:firstLine="480" w:firstLineChars="200"/>
        <w:rPr>
          <w:rFonts w:ascii="仿宋" w:hAnsi="仿宋" w:eastAsia="仿宋"/>
          <w:sz w:val="24"/>
        </w:rPr>
      </w:pPr>
      <w:r>
        <w:rPr>
          <w:rFonts w:hint="eastAsia" w:ascii="仿宋" w:hAnsi="仿宋" w:eastAsia="仿宋"/>
          <w:sz w:val="24"/>
        </w:rPr>
        <w:t>内可累计计分，但不得超过该档次最高分值，有效项数内未计入加分的代表性成果可作为奖项答辩</w:t>
      </w:r>
    </w:p>
    <w:p>
      <w:pPr>
        <w:ind w:firstLine="480" w:firstLineChars="200"/>
        <w:rPr>
          <w:rFonts w:ascii="仿宋" w:hAnsi="仿宋" w:eastAsia="仿宋"/>
          <w:sz w:val="24"/>
        </w:rPr>
      </w:pPr>
      <w:r>
        <w:rPr>
          <w:rFonts w:hint="eastAsia" w:ascii="仿宋" w:hAnsi="仿宋" w:eastAsia="仿宋"/>
          <w:sz w:val="24"/>
        </w:rPr>
        <w:t>或评审小组评分的参考项。</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科技竞赛类别中如为团体获奖，申报时需提交由项目负责人签字的排名表，加分数为奖项对应分值*加分权重；加分权重为第一名1；第二名0.8；第三名0.6；第四名0.4；第五名及以后0.2。</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同一参赛项目获多个奖项时，选择评分标准最高的档次进行加分申请，不得重复申请。</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竞赛项目含专业竞赛，学术竞赛和文体类竞赛。</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国奖、上奖申请人需经由答辩方式获得评审小组评定分数；其他奖项类别以材料审核方式获得评审小组评定分数。</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社会活动奖加分申请表根据该奖项分值设定细则等比例增加，不再另行设定。</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所有评奖事宜的最终结果以当年度评审小组公布为准。</w:t>
      </w:r>
    </w:p>
    <w:p>
      <w:pPr>
        <w:widowControl/>
        <w:numPr>
          <w:ilvl w:val="0"/>
          <w:numId w:val="4"/>
        </w:numPr>
        <w:spacing w:after="160" w:line="259" w:lineRule="auto"/>
        <w:jc w:val="left"/>
        <w:rPr>
          <w:rFonts w:ascii="仿宋" w:hAnsi="仿宋" w:eastAsia="仿宋"/>
          <w:sz w:val="24"/>
        </w:rPr>
      </w:pPr>
      <w:r>
        <w:rPr>
          <w:rFonts w:hint="eastAsia" w:ascii="仿宋" w:hAnsi="仿宋" w:eastAsia="仿宋"/>
          <w:sz w:val="24"/>
        </w:rPr>
        <w:t>所有评奖通知、评定流程、评定细则及最终实施与解释由软件学院学生工作办公室负责。</w:t>
      </w:r>
    </w:p>
    <w:p>
      <w:pPr>
        <w:widowControl/>
        <w:spacing w:before="200" w:line="250" w:lineRule="atLeast"/>
        <w:ind w:left="200"/>
        <w:jc w:val="center"/>
        <w:textAlignment w:val="baseline"/>
        <w:outlineLvl w:val="2"/>
        <w:rPr>
          <w:rFonts w:hint="eastAsia" w:ascii="Calibri" w:hAnsi="Calibri"/>
          <w:b/>
          <w:color w:val="000000"/>
          <w:sz w:val="18"/>
          <w:szCs w:val="18"/>
        </w:rPr>
      </w:pPr>
    </w:p>
    <w:p>
      <w:bookmarkStart w:id="0" w:name="_GoBack"/>
      <w:bookmarkEnd w:id="0"/>
    </w:p>
    <w:sectPr>
      <w:pgSz w:w="11906" w:h="16838"/>
      <w:pgMar w:top="567" w:right="567" w:bottom="567" w:left="567" w:header="624" w:footer="39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4FC42"/>
    <w:multiLevelType w:val="singleLevel"/>
    <w:tmpl w:val="00E4FC42"/>
    <w:lvl w:ilvl="0" w:tentative="0">
      <w:start w:val="2"/>
      <w:numFmt w:val="decimal"/>
      <w:suff w:val="nothing"/>
      <w:lvlText w:val="（%1）"/>
      <w:lvlJc w:val="left"/>
      <w:pPr>
        <w:ind w:left="480" w:leftChars="0" w:firstLine="0" w:firstLineChars="0"/>
      </w:pPr>
    </w:lvl>
  </w:abstractNum>
  <w:abstractNum w:abstractNumId="1">
    <w:nsid w:val="051EC9C7"/>
    <w:multiLevelType w:val="singleLevel"/>
    <w:tmpl w:val="051EC9C7"/>
    <w:lvl w:ilvl="0" w:tentative="0">
      <w:start w:val="1"/>
      <w:numFmt w:val="decimal"/>
      <w:suff w:val="nothing"/>
      <w:lvlText w:val="（%1）"/>
      <w:lvlJc w:val="left"/>
    </w:lvl>
  </w:abstractNum>
  <w:abstractNum w:abstractNumId="2">
    <w:nsid w:val="05B79796"/>
    <w:multiLevelType w:val="singleLevel"/>
    <w:tmpl w:val="05B79796"/>
    <w:lvl w:ilvl="0" w:tentative="0">
      <w:start w:val="1"/>
      <w:numFmt w:val="decimal"/>
      <w:suff w:val="nothing"/>
      <w:lvlText w:val="（%1）"/>
      <w:lvlJc w:val="left"/>
    </w:lvl>
  </w:abstractNum>
  <w:abstractNum w:abstractNumId="3">
    <w:nsid w:val="75E96995"/>
    <w:multiLevelType w:val="singleLevel"/>
    <w:tmpl w:val="75E96995"/>
    <w:lvl w:ilvl="0" w:tentative="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01E92"/>
    <w:rsid w:val="27993AD7"/>
    <w:rsid w:val="2BF01E92"/>
    <w:rsid w:val="32737F3B"/>
    <w:rsid w:val="3CC42859"/>
    <w:rsid w:val="60A4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宋体" w:cs="Times New Roman"/>
      <w:sz w:val="22"/>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2021-08-27T06:40:00Z</dcterms:created>
  <dc:creator>windy</dc:creator>
  <cp:lastModifiedBy>windy</cp:lastModifiedBy>
  <dcterms:modified xsi:type="dcterms:W3CDTF">2021-09-25T10:11:36Z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8F2FFD56B655448BB2923B456DC2D0CD</vt:lpwstr>
  </property>
</Properties>
</file>